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60"/>
      </w:pPr>
      <w:r>
        <w:rPr>
          <w:rFonts w:ascii="Arial" w:cs="Arial" w:eastAsia="Arial" w:hAnsi="Arial"/>
          <w:b/>
          <w:bCs/>
          <w:color w:val="0B1B33"/>
          <w:sz w:val="40"/>
          <w:szCs w:val="40"/>
        </w:rPr>
        <w:t xml:space="preserve">Pilotprojekt-Leitfaden: Reinigungsroboter</w:t>
      </w:r>
    </w:p>
    <w:p>
      <w:pPr>
        <w:spacing w:after="200" w:before="0"/>
      </w:pPr>
      <w:r>
        <w:rPr>
          <w:rFonts w:ascii="Arial" w:cs="Arial" w:eastAsia="Arial" w:hAnsi="Arial"/>
          <w:color w:val="0B6FA4"/>
          <w:sz w:val="22"/>
          <w:szCs w:val="22"/>
        </w:rPr>
        <w:t xml:space="preserve">Reinigungsroboter strukturiert testen, bewerten und zur Rollout-Entscheidung führen</w:t>
      </w:r>
    </w:p>
    <w:p>
      <w:pPr>
        <w:spacing w:after="100" w:before="4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Ein gut geplantes Pilotprojekt ist der sicherste Weg zu einer belastbaren Investitionsentscheidung. Dieser Leitfaden führt Sie in fünf Phasen vom Ziel bis zum Rollout — inklusive KPI-Katalog, Monitoring-Bogen und Bewertungsmatrix zum direkten Ausfüllen.</w:t>
      </w:r>
    </w:p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Warum ein Pilotprojekt?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Reale Reinigungsleistung und Abdeckung im eigenen Objekt prüfen — nicht nur Datenblattwerte.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Akzeptanz von Personal und Nutzern frühzeitig einbeziehen.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Wirtschaftlichkeit unter realen Bedingungen validieren (Anschluss an den ROI-Rechner).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Risiken vor einer größeren Investition oder Ausschreibung minimieren.</w:t>
      </w:r>
    </w:p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Die fünf Phasen im Überblick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50"/>
        <w:gridCol w:w="4076"/>
        <w:gridCol w:w="3000"/>
      </w:tblGrid>
      <w:tr>
        <w:trPr>
          <w:tblHeader/>
        </w:trPr>
        <w:tc>
          <w:tcPr>
            <w:tcW w:type="dxa" w:w="19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407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Inhalt</w:t>
            </w:r>
          </w:p>
        </w:tc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Typische Dauer</w:t>
            </w:r>
          </w:p>
        </w:tc>
      </w:tr>
      <w:tr>
        <w:tc>
          <w:tcPr>
            <w:tcW w:type="dxa" w:w="19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1 — Vorbereitung</w:t>
            </w:r>
          </w:p>
        </w:tc>
        <w:tc>
          <w:tcPr>
            <w:tcW w:type="dxa" w:w="407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Ziele, KPIs, Objekt- und Bereichsauswahl, Team</w:t>
            </w:r>
          </w:p>
        </w:tc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1–2 Wochen</w:t>
            </w:r>
          </w:p>
        </w:tc>
      </w:tr>
      <w:tr>
        <w:tc>
          <w:tcPr>
            <w:tcW w:type="dxa" w:w="19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2 — Setup</w:t>
            </w:r>
          </w:p>
        </w:tc>
        <w:tc>
          <w:tcPr>
            <w:tcW w:type="dxa" w:w="407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Anbieter-Briefing, Kartierung, Schulung, Sicherheit</w:t>
            </w:r>
          </w:p>
        </w:tc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1 Woche</w:t>
            </w:r>
          </w:p>
        </w:tc>
      </w:tr>
      <w:tr>
        <w:tc>
          <w:tcPr>
            <w:tcW w:type="dxa" w:w="19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3 — Durchführung</w:t>
            </w:r>
          </w:p>
        </w:tc>
        <w:tc>
          <w:tcPr>
            <w:tcW w:type="dxa" w:w="407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Testbetrieb mit laufendem Monitoring</w:t>
            </w:r>
          </w:p>
        </w:tc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3–6 Wochen</w:t>
            </w:r>
          </w:p>
        </w:tc>
      </w:tr>
      <w:tr>
        <w:tc>
          <w:tcPr>
            <w:tcW w:type="dxa" w:w="19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4 — Bewertung</w:t>
            </w:r>
          </w:p>
        </w:tc>
        <w:tc>
          <w:tcPr>
            <w:tcW w:type="dxa" w:w="407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KPI-Auswertung, Qualität, Akzeptanz, Wirtschaftlichkeit</w:t>
            </w:r>
          </w:p>
        </w:tc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1 Woche</w:t>
            </w:r>
          </w:p>
        </w:tc>
      </w:tr>
      <w:tr>
        <w:tc>
          <w:tcPr>
            <w:tcW w:type="dxa" w:w="19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5 — Entscheidung</w:t>
            </w:r>
          </w:p>
        </w:tc>
        <w:tc>
          <w:tcPr>
            <w:tcW w:type="dxa" w:w="407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Go/No-Go, Rollout-Planung, Skalierung</w:t>
            </w:r>
          </w:p>
        </w:tc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1 Woche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Phase 1 — Vorbereitung &amp; Zieldefinition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0B6FA4"/>
          <w:sz w:val="23"/>
          <w:szCs w:val="23"/>
        </w:rPr>
        <w:t xml:space="preserve">Ziele festlegen</w:t>
      </w:r>
    </w:p>
    <w:p>
      <w:pPr>
        <w:spacing w:after="100" w:before="4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Definieren Sie 3–5 konkrete, messbare Ziele (z. B. „Reinigungsqualität mindestens gleichwertig zur manuellen Reinigung“, „Entlastung des Personals um X Stunden/Woche“, „dokumentierte Flächenabdeckung ≥ 95 %“).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0B6FA4"/>
          <w:sz w:val="23"/>
          <w:szCs w:val="23"/>
        </w:rPr>
        <w:t xml:space="preserve">Rahmen abstecken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Pilotbereich auswählen (repräsentativ, aber abgrenzbar)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Testzeitraum und Reinigungsfenster festlegen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Projektteam und Verantwortlichkeiten benennen (Leitung, Objekt, Personal, IT)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Ausgangswerte erfassen (heutige Zeiten, Kosten, Qualität) als Vergleichsbasis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Robotertauglichkeit vorab mit der Checkliste sicherstellen</w:t>
      </w:r>
    </w:p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Phase 2 — Setup &amp; Inbetriebnahme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Anbieter-Briefing: Ziele, KPIs, Objektbesonderheiten übergeben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Kartierung/Mapping des Pilotbereichs durch den Anbieter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Sicherheitsunterweisung und Festlegung von Not-Aus-/Eingriffsregeln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Schulung der verantwortlichen Mitarbeitenden (Bedienung, Vor-/Nachbereitung)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Information aller betroffenen Mitarbeitenden und Nutzer (Change-Kommunikation)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Stromanschluss, Ladeplatz, ggf. Wasseranschluss und WLAN final einrichten</w:t>
      </w:r>
    </w:p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Phase 3 — Durchführung &amp; Monitoring</w:t>
      </w:r>
    </w:p>
    <w:p>
      <w:pPr>
        <w:spacing w:after="100" w:before="4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Erfassen Sie während des Testbetriebs systematisch Daten. Nutzen Sie den wöchentlichen Monitoring-Bogen und dokumentieren Sie auch qualitative Beobachtungen und Störungen.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0B6FA4"/>
          <w:sz w:val="23"/>
          <w:szCs w:val="23"/>
        </w:rPr>
        <w:t xml:space="preserve">Wöchentlicher Monitoring-Bogen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700"/>
        <w:gridCol w:w="1700"/>
        <w:gridCol w:w="1700"/>
        <w:gridCol w:w="2826"/>
      </w:tblGrid>
      <w:tr>
        <w:trPr>
          <w:tblHeader/>
        </w:trPr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Woche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Einsätze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Störungen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Eingriffe</w:t>
            </w:r>
          </w:p>
        </w:tc>
        <w:tc>
          <w:tcPr>
            <w:tcW w:type="dxa" w:w="28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Bemerkung</w:t>
            </w:r>
          </w:p>
        </w:tc>
      </w:tr>
      <w:tr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Woche 1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8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Woche 2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8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Woche 3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8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Woche 4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28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pageBreakBefore/>
        <w:spacing w:after="0"/>
      </w:pPr>
      <w:r>
        <w:t xml:space="preserve"/>
      </w:r>
    </w:p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Phase 4 — Bewertung &amp; Auswertung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0B6FA4"/>
          <w:sz w:val="23"/>
          <w:szCs w:val="23"/>
        </w:rPr>
        <w:t xml:space="preserve">KPI-Katalog (Soll/Ist)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200"/>
        <w:gridCol w:w="1700"/>
        <w:gridCol w:w="1726"/>
      </w:tblGrid>
      <w:tr>
        <w:trPr>
          <w:tblHeader/>
        </w:trPr>
        <w:tc>
          <w:tcPr>
            <w:tcW w:type="dxa" w:w="3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Kennzahl (KPI)</w:t>
            </w:r>
          </w:p>
        </w:tc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Zielwert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Ist-Wert</w:t>
            </w:r>
          </w:p>
        </w:tc>
        <w:tc>
          <w:tcPr>
            <w:tcW w:type="dxa" w:w="17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Erfüllt?</w:t>
            </w:r>
          </w:p>
        </w:tc>
      </w:tr>
      <w:tr>
        <w:tc>
          <w:tcPr>
            <w:tcW w:type="dxa" w:w="3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Flächenabdeckung (%)</w:t>
            </w:r>
          </w:p>
        </w:tc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[≥ 95 %]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Reinigungsqualität (Sicht-/Messprüfung)</w:t>
            </w:r>
          </w:p>
        </w:tc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[≥ manuell]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Autonomiegrad / Eingriffe pro Einsatz</w:t>
            </w:r>
          </w:p>
        </w:tc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[≤ …]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Verfügbarkeit / Störungsquote</w:t>
            </w:r>
          </w:p>
        </w:tc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[≥ 95 %]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Eingesparte Personalstunden / Woche</w:t>
            </w:r>
          </w:p>
        </w:tc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[…]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Energie-/Wasserverbrauch</w:t>
            </w:r>
          </w:p>
        </w:tc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[…]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Akzeptanz Personal (Skala 1–5)</w:t>
            </w:r>
          </w:p>
        </w:tc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[≥ 4]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Wirtschaftlichkeit (vs. ROI-Rechner)</w:t>
            </w:r>
          </w:p>
        </w:tc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[positiv]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  <w:tc>
          <w:tcPr>
            <w:tcW w:type="dxa" w:w="17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0B6FA4"/>
          <w:sz w:val="23"/>
          <w:szCs w:val="23"/>
        </w:rPr>
        <w:t xml:space="preserve">Gesamtbewertung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26"/>
        <w:gridCol w:w="1700"/>
        <w:gridCol w:w="2400"/>
      </w:tblGrid>
      <w:tr>
        <w:trPr>
          <w:tblHeader/>
        </w:trP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Bewertungsdimension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Gewichtung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Bewertung (0–5)</w:t>
            </w:r>
          </w:p>
        </w:tc>
      </w:tr>
      <w:t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Reinigungsqualität &amp; Abdeckung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30 %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Zuverlässigkeit &amp; Autonomie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25 %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Wirtschaftlichkeit / TCO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25 %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Akzeptanz &amp; Bedienbarkeit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20 %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9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Gesamt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100 %</w:t>
            </w:r>
          </w:p>
        </w:tc>
        <w:tc>
          <w:tcPr>
            <w:tcW w:type="dxa" w:w="24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Phase 5 — Entscheidung &amp; Rollout</w:t>
      </w:r>
    </w:p>
    <w:p>
      <w:pPr>
        <w:pStyle w:val="ListParagraph"/>
        <w:numPr>
          <w:ilvl w:val="0"/>
          <w:numId w:val="3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Ergebnisse gegen die Zielwerte spiegeln und Go/No-Go-Entscheidung dokumentieren.</w:t>
      </w:r>
    </w:p>
    <w:p>
      <w:pPr>
        <w:pStyle w:val="ListParagraph"/>
        <w:numPr>
          <w:ilvl w:val="0"/>
          <w:numId w:val="3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Bei „Go“: Beschaffungsmodell finalisieren (Kauf vs. RaaS) und Rollout-Plan erstellen.</w:t>
      </w:r>
    </w:p>
    <w:p>
      <w:pPr>
        <w:pStyle w:val="ListParagraph"/>
        <w:numPr>
          <w:ilvl w:val="0"/>
          <w:numId w:val="3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Skalierung auf weitere Bereiche/Objekte planen, Schulung und Prozesse verankern.</w:t>
      </w:r>
    </w:p>
    <w:p>
      <w:pPr>
        <w:pStyle w:val="ListParagraph"/>
        <w:numPr>
          <w:ilvl w:val="0"/>
          <w:numId w:val="3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Erfolgskriterien und Reporting für den Regelbetrieb festlegen.</w:t>
      </w:r>
    </w:p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Typische Stolpersteine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Unrepräsentativer Pilotbereich (zu einfach oder zu komplex) verzerrt das Ergebnis.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Fehlende Vergleichsbasis: Ausgangswerte nicht vor Testbeginn erfasst.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Personal nicht eingebunden — Akzeptanz und Mitwirkung leiden.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Reinigungsqualität nur subjektiv beurteilt statt mit klaren Kriterien.</w:t>
      </w:r>
    </w:p>
    <w:p>
      <w:pPr>
        <w:pStyle w:val="ListParagraph"/>
        <w:numPr>
          <w:ilvl w:val="0"/>
          <w:numId w:val="2"/>
        </w:numPr>
        <w:spacing w:after="40" w:before="20"/>
      </w:pPr>
      <w:r>
        <w:rPr>
          <w:rFonts w:ascii="Arial" w:cs="Arial" w:eastAsia="Arial" w:hAnsi="Arial"/>
          <w:color w:val="1A2533"/>
          <w:sz w:val="21"/>
          <w:szCs w:val="21"/>
        </w:rPr>
        <w:t xml:space="preserve">Vor- und Nachbereitungsaufwand des Roboters in der Wirtschaftlichkeit vergessen.</w:t>
      </w:r>
    </w:p>
    <w:p>
      <w:pPr>
        <w:pStyle w:val="Heading1"/>
        <w:pBdr>
          <w:bottom w:val="single" w:color="0EA5E9" w:sz="8" w:space="4"/>
        </w:pBdr>
        <w:spacing w:after="120" w:before="300"/>
      </w:pPr>
      <w:r>
        <w:rPr>
          <w:rFonts w:ascii="Arial" w:cs="Arial" w:eastAsia="Arial" w:hAnsi="Arial"/>
          <w:b/>
          <w:bCs/>
          <w:color w:val="0B1B33"/>
          <w:sz w:val="28"/>
          <w:szCs w:val="28"/>
        </w:rPr>
        <w:t xml:space="preserve">Zeitplan-Vorlage (8 Wochen)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126"/>
        <w:gridCol w:w="1700"/>
      </w:tblGrid>
      <w:tr>
        <w:trPr>
          <w:tblHeader/>
        </w:trPr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Zeitraum</w:t>
            </w:r>
          </w:p>
        </w:tc>
        <w:tc>
          <w:tcPr>
            <w:tcW w:type="dxa" w:w="51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Aktivität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0B1B33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</w:tr>
      <w:tr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Woche 1–2</w:t>
            </w:r>
          </w:p>
        </w:tc>
        <w:tc>
          <w:tcPr>
            <w:tcW w:type="dxa" w:w="51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Ziele, KPIs, Bereichsauswahl, Ausgangswerte (Phase 1)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Woche 3</w:t>
            </w:r>
          </w:p>
        </w:tc>
        <w:tc>
          <w:tcPr>
            <w:tcW w:type="dxa" w:w="51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Setup, Mapping, Schulung, Sicherheit (Phase 2)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Woche 4–7</w:t>
            </w:r>
          </w:p>
        </w:tc>
        <w:tc>
          <w:tcPr>
            <w:tcW w:type="dxa" w:w="51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Testbetrieb mit Monitoring (Phase 3)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B1B33"/>
                <w:sz w:val="20"/>
                <w:szCs w:val="20"/>
              </w:rPr>
              <w:t xml:space="preserve">Woche 8</w:t>
            </w:r>
          </w:p>
        </w:tc>
        <w:tc>
          <w:tcPr>
            <w:tcW w:type="dxa" w:w="5126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Auswertung, Bewertung, Go/No-Go (Phase 4–5)</w:t>
            </w:r>
          </w:p>
        </w:tc>
        <w:tc>
          <w:tcPr>
            <w:tcW w:type="dxa" w:w="17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F4F8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2533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left w:val="single" w:color="0EA5E9" w:sz="18" w:space="8"/>
        </w:pBdr>
        <w:shd w:fill="EAF4FB" w:val="clear"/>
        <w:spacing w:after="120" w:before="80"/>
      </w:pPr>
      <w:r>
        <w:rPr>
          <w:rFonts w:ascii="Arial" w:cs="Arial" w:eastAsia="Arial" w:hAnsi="Arial"/>
          <w:color w:val="0B1B33"/>
          <w:sz w:val="20"/>
          <w:szCs w:val="20"/>
        </w:rPr>
        <w:t xml:space="preserve">Tipp: Verknüpfen Sie diesen Leitfaden mit dem Pflichtenheft (Anforderungen) und dem ROI-Rechner (Wirtschaftlichkeit) zu einem durchgängigen Entscheidungsprozess.</w:t>
      </w:r>
    </w:p>
    <w:sectPr>
      <w:headerReference w:type="default" r:id="rId7"/>
      <w:footerReference w:type="default" r:id="rId8"/>
      <w:pgSz w:w="11906" w:h="16838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D6E2" w:sz="4" w:space="4"/>
      </w:pBdr>
      <w:tabs>
        <w:tab w:val="right" w:pos="9026"/>
      </w:tabs>
      <w:spacing w:after="0" w:before="60"/>
    </w:pPr>
    <w:r>
      <w:rPr>
        <w:rFonts w:ascii="Arial" w:cs="Arial" w:eastAsia="Arial" w:hAnsi="Arial"/>
        <w:color w:val="5A6B7B"/>
        <w:sz w:val="15"/>
        <w:szCs w:val="15"/>
      </w:rPr>
      <w:t xml:space="preserve">Cleanrobotix — ein Angebot der Hygiene &amp; Reinigungsexperten GmbH &amp; Co. KG</w:t>
    </w:r>
    <w:r>
      <w:rPr>
        <w:rFonts w:ascii="Arial" w:cs="Arial" w:eastAsia="Arial" w:hAnsi="Arial"/>
        <w:color w:val="5A6B7B"/>
        <w:sz w:val="15"/>
        <w:szCs w:val="15"/>
      </w:rPr>
      <w:t xml:space="preserve">	Seite </w:t>
    </w:r>
    <w:r>
      <w:rPr>
        <w:rFonts w:ascii="Arial" w:cs="Arial" w:eastAsia="Arial" w:hAnsi="Arial"/>
        <w:color w:val="5A6B7B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A6B7B"/>
        <w:sz w:val="15"/>
        <w:szCs w:val="15"/>
      </w:rPr>
      <w:t xml:space="preserve"> / </w:t>
    </w:r>
    <w:r>
      <w:rPr>
        <w:rFonts w:ascii="Arial" w:cs="Arial" w:eastAsia="Arial" w:hAnsi="Arial"/>
        <w:color w:val="5A6B7B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  <w:p>
    <w:pPr>
      <w:spacing w:before="20"/>
    </w:pPr>
    <w:r>
      <w:rPr>
        <w:rFonts w:ascii="Arial" w:cs="Arial" w:eastAsia="Arial" w:hAnsi="Arial"/>
        <w:i/>
        <w:iCs/>
        <w:color w:val="5A6B7B"/>
        <w:sz w:val="13"/>
        <w:szCs w:val="13"/>
      </w:rPr>
      <w:t xml:space="preserve">Diese Vorlage dient der Orientierung und ersetzt keine objektspezifische Fachberatung.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hd w:fill="0B1B33" w:color="auto" w:val="clear"/>
      <w:tabs>
        <w:tab w:val="right" w:pos="8926"/>
      </w:tabs>
      <w:spacing w:after="0" w:before="0"/>
    </w:pPr>
    <w:r>
      <w:rPr>
        <w:rFonts w:ascii="Arial" w:cs="Arial" w:eastAsia="Arial" w:hAnsi="Arial"/>
        <w:b/>
        <w:bCs/>
        <w:color w:val="FFFFFF"/>
        <w:sz w:val="26"/>
        <w:szCs w:val="26"/>
      </w:rPr>
      <w:t xml:space="preserve">  CLEANROBOTIX</w:t>
    </w:r>
    <w:r>
      <w:rPr>
        <w:rFonts w:ascii="Arial" w:cs="Arial" w:eastAsia="Arial" w:hAnsi="Arial"/>
        <w:b/>
        <w:bCs/>
        <w:color w:val="8FD3F4"/>
        <w:sz w:val="18"/>
        <w:szCs w:val="18"/>
      </w:rPr>
      <w:t xml:space="preserve">	Pilotprojekt-Leitfaden  </w:t>
    </w:r>
  </w:p>
  <w:p>
    <w:pPr>
      <w:pBdr>
        <w:bottom w:val="single" w:color="0EA5E9" w:sz="16" w:space="1"/>
      </w:pBdr>
      <w:spacing w:after="120" w:before="0"/>
    </w:pPr>
    <w:r>
      <w:rPr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0EA5E9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0EA5E9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25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2026-06-30T21:02:38.817Z</dcterms:created>
  <dcterms:modified xsi:type="dcterms:W3CDTF">2026-06-30T21:02:38.817Z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